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00:08 МСК · База обновлена: 22.08.2026, 08:14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63 лет обратился к урологу поликлиники по месту жительства, поскольку в последнее время обратил внимание на изменение цвета мочи.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примесь крови в моче на протяжении всего акта мочеиспускания.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 уролога не наблюдается. Вышеуказанная жалоба беспокоит в течение 3 месяцев. Около недели назад наряду с окрашиванием мочи кровью отметил появление бесформенных сгустков.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 и развивался наравне со сверстниками, Детские инфекции без осложнений.</w:t>
      </w:r>
    </w:p>
    <w:p>
      <w:pPr>
        <w:spacing w:after="58"/>
      </w:pPr>
      <w:r>
        <w:rPr>
          <w:b w:val="0"/>
          <w:i w:val="0"/>
        </w:rPr>
        <w:t>Курит – 1-1,5 пачки в день в течение 20 лет, алкоголем не злоупотребляет, профессиональные вредности отрицает.</w:t>
      </w:r>
    </w:p>
    <w:p>
      <w:pPr>
        <w:spacing w:after="58"/>
      </w:pPr>
      <w:r>
        <w:rPr>
          <w:b w:val="0"/>
          <w:i w:val="0"/>
        </w:rPr>
        <w:t>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Родной брат – здоровье соответствует возрастной норме.</w:t>
      </w:r>
    </w:p>
    <w:p>
      <w:pPr>
        <w:spacing w:after="58"/>
      </w:pPr>
      <w:r>
        <w:rPr>
          <w:b w:val="0"/>
          <w:i w:val="0"/>
        </w:rPr>
        <w:t>Онкологический 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72 кг, рост 170 см. Температура тела 36,7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С. Кожные покровы умеренно влажные, теплые. Дыхание самостоятельное, ЧДД 17/мин. Тоны сердца ясные, ритмичные, ЧСС 75/мин, АД 130/80 мм рт.ст. Живот мягкий, безболезненный во всех отделах. Печень, селезенка не увеличены. Стул регулярный, оформленный.</w:t>
      </w:r>
    </w:p>
    <w:p>
      <w:pPr>
        <w:spacing w:after="58"/>
      </w:pPr>
      <w:r>
        <w:rPr>
          <w:b w:val="0"/>
          <w:i w:val="0"/>
        </w:rPr>
        <w:t>_Status localis_: симптом Пастернацкого отрицательный с обеих сторон, почки не пальпируются, мочеиспускание свободное, безболезненное, моча визуально на момент осмотра не изменена, наружные половые органы без особенностей, яички пальпируются в мошонке, обычных размеров и консистенции, безболезненные, патологических образований не выявлено.</w:t>
      </w:r>
    </w:p>
    <w:p>
      <w:pPr>
        <w:spacing w:after="58"/>
      </w:pPr>
      <w:r>
        <w:rPr>
          <w:b w:val="0"/>
          <w:i w:val="0"/>
        </w:rPr>
        <w:t>При пальцевом ректальном исследовании: простата не увеличена, плотно-эластической консистенции, безболезненная, Поверхность простаты гладкая, слизистая прямой кишки свободно смещается.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лабораторной диагностики, необходимым для постановки диагноза в данном случае,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анализ крови на ПСА общий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общий 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цитологическое исследование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коагулограмма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общий анализ мочи</w:t>
      </w:r>
      <w:r>
        <w:br/>
      </w:r>
      <w:r>
        <w:rPr>
          <w:b/>
          <w:i w:val="0"/>
        </w:rPr>
        <w:t>4 - цитологическое исследование мочи</w:t>
      </w:r>
    </w:p>
    <w:p>
      <w:pPr>
        <w:spacing w:after="58"/>
      </w:pPr>
      <w:r>
        <w:rPr>
          <w:b w:val="0"/>
          <w:i w:val="0"/>
        </w:rPr>
        <w:t>Микрогематурия — показание для исследования мочевой системы с целью исключения конкрементов и опухоли слизистой оболочки верхних мочевых путей и МП.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выполнять цитологическое исследование (ЦИ) мочи из полости мочевого пузыря перед выполнением трансуретральной резекции. Это позволяет заподозрить наличие опухоли высокой степени малигнизации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первичной диагностике для постановки диагноза необходимыми инструментальными и лучевыми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почек, верхних мочевых путей и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трансректальное ультразвуковое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компьютерная томография органов малого таза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диагностическая уретроцистоскопия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ультразвуковое исследование почек, верхних мочевых путей и мочевого пузыря</w:t>
      </w:r>
      <w:r>
        <w:br/>
      </w:r>
      <w:r>
        <w:rPr>
          <w:b/>
          <w:i w:val="0"/>
        </w:rPr>
        <w:t>5 - диагностическая уретроцистоскопия</w:t>
      </w:r>
    </w:p>
    <w:p>
      <w:pPr>
        <w:spacing w:after="58"/>
      </w:pPr>
      <w:r>
        <w:rPr>
          <w:b w:val="0"/>
          <w:i w:val="0"/>
        </w:rPr>
        <w:t>Рекомендуется назначать ультразвуковое исследование (УЗИ) почек и МП при первичном обследовании пациентов с гематурией.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выполнять диагностическую цистоскопию всем пациентам с симптомами, подтверждающими РМП.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результатам клинических и лабораторно-инструментальных методов обследования данному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Опухоль мочевого пузыря Т1NхМ0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Рак мочевого пузыря Т1N0М0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Опухоль мочевого пузыря Т1N0Мх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Опухоль мочевого пузыря Т1NхМх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Опухоль мочевого пузыря Т1NхМх</w:t>
      </w:r>
    </w:p>
    <w:p>
      <w:pPr>
        <w:spacing w:after="58"/>
      </w:pPr>
      <w:r>
        <w:rPr>
          <w:b w:val="0"/>
          <w:i w:val="0"/>
        </w:rPr>
        <w:t>Классификация TNM.</w:t>
      </w:r>
    </w:p>
    <w:p>
      <w:pPr>
        <w:spacing w:after="58"/>
      </w:pPr>
      <w:r>
        <w:rPr>
          <w:b w:val="0"/>
          <w:i w:val="0"/>
        </w:rPr>
        <w:t>Т – первичная опухоль, N -регионарные лимфатические узлы, M – отдаленные метастазы.</w:t>
      </w:r>
    </w:p>
    <w:p>
      <w:pPr>
        <w:spacing w:after="58"/>
      </w:pPr>
      <w:r>
        <w:rPr>
          <w:b w:val="0"/>
          <w:i w:val="0"/>
        </w:rPr>
        <w:t>Т1 – опухоль распространяется на субэпителиальную соединительную ткань. Nх – регионарные лимфатические узлы не могут быть оценены на данном этапе обследования. Мх – нет информации по отдаленным метастазам.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Главным исследованием в диагностике стадии Т опухоли мочевого пузыря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морфологическое исследование удаленных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магнитно-резонансная томография (МРТ)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цистоскопия с фотодинамической диагностикой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мультиспиральная компьютерная томография (МСКТ) органов малого таза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морфологическое исследование удаленных тканей</w:t>
      </w:r>
    </w:p>
    <w:p>
      <w:pPr>
        <w:spacing w:after="58"/>
      </w:pPr>
      <w:r>
        <w:rPr>
          <w:b w:val="0"/>
          <w:i w:val="0"/>
        </w:rPr>
        <w:t>При проведении диагностической уретроцистоскопии и выявлении новообразования рекомендована биопсия МП либо выполнение ТУР МП.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уточнения состояния регионарных лимфоузлов (стадия N) и определения наличия метастазов (стадия M) по классификации (TNM) при уротелиальной карциноме мочевого пузыря пациенту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динамической нефросцинтиграфии и компьютерной томографии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рентгенографии черепа и ретроградной уретеропиелографии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эластографии предстательной железы с контрастированием и ретроградной уретроцистографии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остеосцинтиграфии и МРТ органов малого таза с контрастированием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остеосцинтиграфии и МРТ органов малого таза с контрастированием</w:t>
      </w:r>
    </w:p>
    <w:p>
      <w:pPr>
        <w:spacing w:after="58"/>
      </w:pPr>
      <w:r>
        <w:rPr>
          <w:b w:val="0"/>
          <w:i w:val="0"/>
        </w:rPr>
        <w:t>Рекомендуется выполнение сканирования костей скелета при подозрении на их метастатическое поражение.</w:t>
      </w:r>
    </w:p>
    <w:p>
      <w:pPr>
        <w:spacing w:after="58"/>
      </w:pPr>
      <w:r>
        <w:rPr>
          <w:b w:val="0"/>
          <w:i w:val="0"/>
        </w:rPr>
        <w:t>При повторной диагностике рекомендуется проведение компьютерной томографии и/или магнитно-резонансной томографии (МРТ).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Стадией рака мочевого пузыря в соответствии с TNM классификацией по результатам окончательного обследования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pТ2аN0M0G1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pТ1aN0M0G1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pТ1N0M0G1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pТ2bN0M0G1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pТ1N0M0G1</w:t>
      </w:r>
    </w:p>
    <w:p>
      <w:pPr>
        <w:spacing w:after="58"/>
      </w:pPr>
      <w:r>
        <w:rPr>
          <w:b/>
          <w:i w:val="0"/>
        </w:rPr>
        <w:t>Т — первичная опухоль</w:t>
      </w:r>
    </w:p>
    <w:p>
      <w:pPr>
        <w:spacing w:after="58"/>
      </w:pPr>
      <w:r>
        <w:rPr>
          <w:b w:val="0"/>
          <w:i w:val="0"/>
        </w:rPr>
        <w:t>* Тх – первичная опухоль не может быть оценена</w:t>
      </w:r>
    </w:p>
    <w:p>
      <w:pPr>
        <w:spacing w:after="58"/>
      </w:pPr>
      <w:r>
        <w:rPr>
          <w:b w:val="0"/>
          <w:i w:val="0"/>
        </w:rPr>
        <w:t>* Т0 – нет данных о первичной опухоли</w:t>
      </w:r>
    </w:p>
    <w:p>
      <w:pPr>
        <w:spacing w:after="58"/>
      </w:pPr>
      <w:r>
        <w:rPr>
          <w:b w:val="0"/>
          <w:i w:val="0"/>
        </w:rPr>
        <w:t>* Та – неинвазивная папиллярная карцинома</w:t>
      </w:r>
    </w:p>
    <w:p>
      <w:pPr>
        <w:spacing w:after="58"/>
      </w:pPr>
      <w:r>
        <w:rPr>
          <w:b w:val="0"/>
          <w:i w:val="0"/>
        </w:rPr>
        <w:t>* Тis – карцинома_in situ_</w:t>
      </w:r>
    </w:p>
    <w:p>
      <w:pPr>
        <w:spacing w:after="58"/>
      </w:pPr>
      <w:r>
        <w:rPr>
          <w:b w:val="0"/>
          <w:i w:val="0"/>
        </w:rPr>
        <w:t>* Т1 – опухоль распространяется на субэпителиальную соединительную ткань</w:t>
      </w:r>
    </w:p>
    <w:p>
      <w:pPr>
        <w:spacing w:after="58"/>
      </w:pPr>
      <w:r>
        <w:rPr>
          <w:b w:val="0"/>
          <w:i w:val="0"/>
        </w:rPr>
        <w:t>* Т2 – опухолевая инвазия мышечного слоя</w:t>
      </w:r>
    </w:p>
    <w:p>
      <w:pPr>
        <w:spacing w:after="58"/>
      </w:pPr>
      <w:r>
        <w:rPr>
          <w:b w:val="0"/>
          <w:i w:val="0"/>
        </w:rPr>
        <w:t>Т2а – опухолевая инвазия поверхностного мышечного слоя</w:t>
      </w:r>
    </w:p>
    <w:p>
      <w:pPr>
        <w:spacing w:after="58"/>
      </w:pPr>
      <w:r>
        <w:rPr>
          <w:b w:val="0"/>
          <w:i w:val="0"/>
        </w:rPr>
        <w:t>Т2b – опухолевая инвазия глубокого мышечного слоя</w:t>
      </w:r>
    </w:p>
    <w:p>
      <w:pPr>
        <w:spacing w:after="58"/>
      </w:pPr>
      <w:r>
        <w:rPr>
          <w:b w:val="0"/>
          <w:i w:val="0"/>
        </w:rPr>
        <w:t>* Т3 – опухоль распространяется на паравезикальную клетчатку</w:t>
      </w:r>
    </w:p>
    <w:p>
      <w:pPr>
        <w:spacing w:after="58"/>
      </w:pPr>
      <w:r>
        <w:rPr>
          <w:b w:val="0"/>
          <w:i w:val="0"/>
        </w:rPr>
        <w:t>Т3а – микроскопически</w:t>
      </w:r>
    </w:p>
    <w:p>
      <w:pPr>
        <w:spacing w:after="58"/>
      </w:pPr>
      <w:r>
        <w:rPr>
          <w:b w:val="0"/>
          <w:i w:val="0"/>
        </w:rPr>
        <w:t>Т3b – макроскопически</w:t>
      </w:r>
    </w:p>
    <w:p>
      <w:pPr>
        <w:spacing w:after="58"/>
      </w:pPr>
      <w:r>
        <w:rPr>
          <w:b w:val="0"/>
          <w:i w:val="0"/>
        </w:rPr>
        <w:t>* Т4 – опухоль распространяется на любой из этих органов: предстательную железу, матку, влагалище, стенку таза, брюшную стенку</w:t>
      </w:r>
    </w:p>
    <w:p>
      <w:pPr>
        <w:spacing w:after="58"/>
      </w:pPr>
      <w:r>
        <w:rPr>
          <w:b w:val="0"/>
          <w:i w:val="0"/>
        </w:rPr>
        <w:t>Т4а – опухолевая инвазия предстательной железы, или матки, или влагалища</w:t>
      </w:r>
    </w:p>
    <w:p>
      <w:pPr>
        <w:spacing w:after="58"/>
      </w:pPr>
      <w:r>
        <w:rPr>
          <w:b w:val="0"/>
          <w:i w:val="0"/>
        </w:rPr>
        <w:t>Т4b – опухолевая инвазия стенки таза или брюшной стенки</w:t>
      </w:r>
    </w:p>
    <w:p>
      <w:pPr>
        <w:spacing w:after="58"/>
      </w:pPr>
      <w:r>
        <w:rPr>
          <w:b/>
          <w:i w:val="0"/>
        </w:rPr>
        <w:t>N — регионарные лимфатические узлы</w:t>
      </w:r>
    </w:p>
    <w:p>
      <w:pPr>
        <w:spacing w:after="58"/>
      </w:pPr>
      <w:r>
        <w:rPr>
          <w:b w:val="0"/>
          <w:i w:val="0"/>
        </w:rPr>
        <w:t>* Nх – регионарные лимфатические узлы не могут быть оценены</w:t>
      </w:r>
    </w:p>
    <w:p>
      <w:pPr>
        <w:spacing w:after="58"/>
      </w:pPr>
      <w:r>
        <w:rPr>
          <w:b w:val="0"/>
          <w:i w:val="0"/>
        </w:rPr>
        <w:t>* N0 – нет метастазов в регионарных лимфатических узлах</w:t>
      </w:r>
    </w:p>
    <w:p>
      <w:pPr>
        <w:spacing w:after="58"/>
      </w:pPr>
      <w:r>
        <w:rPr>
          <w:b w:val="0"/>
          <w:i w:val="0"/>
        </w:rPr>
        <w:t>* N1 – метастаз в одном регионарном лимфатическом узле размером не более 2 см в наибольшем измерении</w:t>
      </w:r>
    </w:p>
    <w:p>
      <w:pPr>
        <w:spacing w:after="58"/>
      </w:pPr>
      <w:r>
        <w:rPr>
          <w:b w:val="0"/>
          <w:i w:val="0"/>
        </w:rPr>
        <w:t>* N2 – метастаз в одном регионарном лимфатическом узле размером более 2 см, но не более 5 см в наибольшем измерении, или множественные лимфатические узлы, ни один из которых не превышает 5 см в наибольшем измерении</w:t>
      </w:r>
    </w:p>
    <w:p>
      <w:pPr>
        <w:spacing w:after="58"/>
      </w:pPr>
      <w:r>
        <w:rPr>
          <w:b w:val="0"/>
          <w:i w:val="0"/>
        </w:rPr>
        <w:t>* N3 – метастазы в регионарных лимфатических узлах размером более 5 см в наибольшем измерении</w:t>
      </w:r>
    </w:p>
    <w:p>
      <w:pPr>
        <w:spacing w:after="58"/>
      </w:pPr>
      <w:r>
        <w:rPr>
          <w:b/>
          <w:i w:val="0"/>
        </w:rPr>
        <w:t>М — отдалённые метастазы</w:t>
      </w:r>
    </w:p>
    <w:p>
      <w:pPr>
        <w:spacing w:after="58"/>
      </w:pPr>
      <w:r>
        <w:rPr>
          <w:b w:val="0"/>
          <w:i w:val="0"/>
        </w:rPr>
        <w:t>* Мх – нет отдалённых метастазов</w:t>
      </w:r>
    </w:p>
    <w:p>
      <w:pPr>
        <w:spacing w:after="58"/>
      </w:pPr>
      <w:r>
        <w:rPr>
          <w:b w:val="0"/>
          <w:i w:val="0"/>
        </w:rPr>
        <w:t>* М1 – отдалённые метастазы</w:t>
      </w:r>
    </w:p>
    <w:p>
      <w:pPr>
        <w:spacing w:after="58"/>
      </w:pPr>
      <w:r>
        <w:rPr>
          <w:b w:val="0"/>
          <w:i w:val="0"/>
        </w:rPr>
        <w:t>Категория р Т – паталогоанатомическая классификация. рТ1 – опухоль распространяется на субэпителиальную соединительную ткань.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проведенной морфологической верификации данному пациенту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цистэктомии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повторной открытой резекции стенки мочевого пузыря в сроки 2-6 недель от первичной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внутрипузырной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повторной трансуретральной резекции стенки мочевого пузыря в сроки 2-6 недель от первичной операции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внутрипузырной химиотерапии</w:t>
      </w:r>
    </w:p>
    <w:p>
      <w:pPr>
        <w:spacing w:after="58"/>
      </w:pPr>
      <w:r>
        <w:rPr>
          <w:b w:val="0"/>
          <w:i w:val="0"/>
        </w:rPr>
        <w:t>Пациентам группы промежуточного риска после выполнения ТУР рекомендуется проведение адъювантной внутрипузырной химиотерапии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Данный пациент относится к группе </w:t>
      </w:r>
      <w:r>
        <w:rPr>
          <w:b w:val="0"/>
          <w:i w:val="0"/>
        </w:rPr>
        <w:t>_______________</w:t>
      </w:r>
      <w:r>
        <w:rPr>
          <w:b w:val="0"/>
          <w:i w:val="0"/>
        </w:rPr>
        <w:t xml:space="preserve"> риска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высокого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неопределяемого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промежуточного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промежуточного</w:t>
      </w:r>
    </w:p>
    <w:p>
      <w:pPr>
        <w:spacing w:after="58"/>
      </w:pPr>
      <w:r>
        <w:rPr>
          <w:b w:val="0"/>
          <w:i w:val="0"/>
        </w:rPr>
        <w:t>Пациентам группы промежуточного риска после выполнения ТУР рекомендуется проведение адъювантной внутрипузырной химиотерапии.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к этой группе относятся все пациенты, не вошедшие в группу низкого или высокого риска. Риск прогрессирования опухоли за 5 лет – 17,4%. Смертность от РМП за 10 лет – 12,8%.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Возможным осложнением ТУР стенки мочевого пузыря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повреждение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перфорация уретры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сморщивание мочевого пузыря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кровотечение</w:t>
      </w:r>
    </w:p>
    <w:p>
      <w:pPr>
        <w:spacing w:after="58"/>
      </w:pPr>
      <w:r>
        <w:rPr>
          <w:b w:val="0"/>
          <w:i w:val="0"/>
        </w:rPr>
        <w:t>Наиболее распространенными осложнения ТУР МП являются:</w:t>
      </w:r>
    </w:p>
    <w:p>
      <w:pPr>
        <w:spacing w:after="58"/>
      </w:pPr>
      <w:r>
        <w:rPr>
          <w:b w:val="0"/>
          <w:i w:val="0"/>
        </w:rPr>
        <w:t>* кровотечения (интраоперационные и послеоперационные), иногда требующие открытого хирургического вмешательства;</w:t>
      </w:r>
    </w:p>
    <w:p>
      <w:pPr>
        <w:spacing w:after="58"/>
      </w:pPr>
      <w:r>
        <w:rPr>
          <w:b w:val="0"/>
          <w:i w:val="0"/>
        </w:rPr>
        <w:t>* перфорация стенки мочевого пузыря; внутрибрюшинная перфорация требует лапаротомии, дренирования брюшной полости, ушивания дефекта стенки мочевого пузыря.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дальнейшем данному пациенту, исходя из онкологического риска,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цистоскопию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МСКТ органов малого таза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МРТ органов малого таза с контрастированием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цистоскопию</w:t>
      </w:r>
    </w:p>
    <w:p>
      <w:pPr>
        <w:spacing w:after="58"/>
      </w:pPr>
      <w:r>
        <w:rPr>
          <w:b w:val="0"/>
          <w:i w:val="0"/>
        </w:rPr>
        <w:t>Наблюдение пациентов с опухолями Т1 основано на цистоскопическом исследовании с цитологическим анализом мочи, УЗИ малого таза, брюшной полости, биохимическим и общим анализами крови в первые 2 года 1 раз в 3 мес, в 3–4-й год 1 раз в 6 мес, затем 1 раз в год;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Контрольная цистоскопия после лечения должна быть проведена через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4 - 3</w:t>
      </w:r>
    </w:p>
    <w:p>
      <w:pPr>
        <w:spacing w:after="58"/>
      </w:pPr>
      <w:r>
        <w:rPr>
          <w:b w:val="0"/>
          <w:i w:val="0"/>
        </w:rPr>
        <w:t>Наблюдение пациентов с опухолями Т1 основано на цистоскопическом исследовании с цитологическим анализом мочи, УЗИ малого таза, брюшной полости, биохимическим и общим анализами крови в первые 2 года 1 раз в 3 мес, в 3–4-й год 1 раз в 6 мес, затем 1 раз в год;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 целью наблюдения за возможным рецидивом опухоли мочевого пузыря у данного пациента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цитологическое исследование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дисморфных эритроцитов в моче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крови на ПСА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генетический анализ мочи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цитологическое исследование мочи</w:t>
      </w:r>
    </w:p>
    <w:p>
      <w:pPr>
        <w:spacing w:after="58"/>
      </w:pPr>
      <w:r>
        <w:rPr>
          <w:b w:val="0"/>
          <w:i w:val="0"/>
        </w:rPr>
        <w:t>Наблюдение пациентов с опухолями Т1 основано на цистоскопическом исследовании с цитологическим анализом мочи, УЗИ малого таза, брюшной полости, биохимическим и общим анализами крови в первые 2 года 1 раз в 3 мес, в 3–4-й год 1 раз в 6 мес., затем 1 раз в год;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11_23/" TargetMode="External"/><Relationship Id="rId22" Type="http://schemas.openxmlformats.org/officeDocument/2006/relationships/hyperlink" Target="https://library.mededtech.ru/rest/documents/KP11_23/#paragraph_6nqbgf" TargetMode="External"/><Relationship Id="rId23" Type="http://schemas.openxmlformats.org/officeDocument/2006/relationships/hyperlink" Target="https://library.mededtech.ru/rest/documents/KP11_23/#list_item_ad5o0e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11_23/#list_item_elmo4e" TargetMode="External"/><Relationship Id="rId26" Type="http://schemas.openxmlformats.org/officeDocument/2006/relationships/hyperlink" Target="https://library.mededtech.ru/rest/documents/KP11_23/#list_item_nem301" TargetMode="External"/><Relationship Id="rId27" Type="http://schemas.openxmlformats.org/officeDocument/2006/relationships/hyperlink" Target="https://library.mededtech.ru/rest/documents/KP11_23/#paragraph_b73edm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11_23/#paragraph_7k0etd" TargetMode="External"/><Relationship Id="rId30" Type="http://schemas.openxmlformats.org/officeDocument/2006/relationships/hyperlink" Target="https://library.mededtech.ru/rest/documents/KP11_23/#list_item_o6r1oi" TargetMode="External"/><Relationship Id="rId31" Type="http://schemas.openxmlformats.org/officeDocument/2006/relationships/hyperlink" Target="https://library.mededtech.ru/rest/documents/KP11_23/#list_item_v2l23m" TargetMode="External"/><Relationship Id="rId32" Type="http://schemas.openxmlformats.org/officeDocument/2006/relationships/image" Target="media/image8.png"/><Relationship Id="rId33" Type="http://schemas.openxmlformats.org/officeDocument/2006/relationships/hyperlink" Target="https://library.mededtech.ru/rest/documents/KP11_23/#list_item_f08gug" TargetMode="External"/><Relationship Id="rId34" Type="http://schemas.openxmlformats.org/officeDocument/2006/relationships/hyperlink" Target="https://library.mededtech.ru/rest/documents/KP11_23/#paragraph_e8vku7" TargetMode="External"/><Relationship Id="rId35" Type="http://schemas.openxmlformats.org/officeDocument/2006/relationships/hyperlink" Target="https://library.mededtech.ru/rest/documents/KP11_23/#list_item_1c1ql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